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Генеральному директору</w:t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ООО «АЙДЕНТ»</w:t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в лице ООО «</w:t>
      </w:r>
      <w:r>
        <w:rPr>
          <w:rFonts w:ascii="Open Sans" w:hAnsi="Open Sans" w:cs="Open Sans"/>
        </w:rPr>
        <w:t xml:space="preserve">Дентал</w:t>
      </w:r>
      <w:r>
        <w:rPr>
          <w:rFonts w:ascii="Open Sans" w:hAnsi="Open Sans" w:cs="Open Sans"/>
        </w:rPr>
        <w:t xml:space="preserve"> Менеджмент Компани», действующего на основании договора о передаче полномочий единоличного исполнительного органа управляющей организации №ЕИО-0111 от 01.11.2016 в лице Логинова </w:t>
      </w:r>
      <w:r>
        <w:rPr>
          <w:rFonts w:ascii="Open Sans" w:hAnsi="Open Sans" w:cs="Open Sans"/>
        </w:rPr>
        <w:t xml:space="preserve">Н.В.</w:t>
      </w:r>
      <w:r>
        <w:rPr>
          <w:rFonts w:ascii="Open Sans" w:hAnsi="Open Sans" w:cs="Open Sans"/>
        </w:rPr>
      </w:r>
    </w:p>
    <w:p>
      <w:pPr>
        <w:ind w:left="4962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___________________________________</w:t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Должность</w:t>
      </w:r>
      <w:r>
        <w:rPr>
          <w:rFonts w:ascii="Open Sans" w:hAnsi="Open Sans" w:cs="Open Sans"/>
          <w:sz w:val="16"/>
          <w:szCs w:val="16"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___________________________________</w:t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Организация</w:t>
      </w:r>
      <w:r>
        <w:rPr>
          <w:rFonts w:ascii="Open Sans" w:hAnsi="Open Sans" w:cs="Open Sans"/>
          <w:sz w:val="16"/>
          <w:szCs w:val="16"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___________________________________</w:t>
      </w:r>
      <w:r>
        <w:rPr>
          <w:rFonts w:ascii="Open Sans" w:hAnsi="Open Sans" w:cs="Open Sans"/>
          <w:b/>
          <w:bCs/>
        </w:rPr>
      </w:r>
    </w:p>
    <w:p>
      <w:pPr>
        <w:ind w:left="4962"/>
        <w:spacing w:after="0" w:line="240" w:lineRule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ФИО руководителя</w:t>
      </w:r>
      <w:r>
        <w:rPr>
          <w:rFonts w:ascii="Open Sans" w:hAnsi="Open Sans" w:cs="Open Sans"/>
          <w:sz w:val="16"/>
          <w:szCs w:val="16"/>
        </w:rPr>
      </w:r>
    </w:p>
    <w:p>
      <w:pPr>
        <w:ind w:left="4536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4536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4536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firstLine="851"/>
        <w:jc w:val="center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заявление</w:t>
      </w:r>
      <w:r>
        <w:rPr>
          <w:rFonts w:ascii="Open Sans" w:hAnsi="Open Sans" w:cs="Open Sans"/>
          <w:b/>
          <w:bCs/>
        </w:rPr>
      </w:r>
    </w:p>
    <w:p>
      <w:pPr>
        <w:ind w:firstLine="851"/>
        <w:jc w:val="center"/>
        <w:spacing w:after="0" w:line="240" w:lineRule="auto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на предоставление доступа к базе данных </w:t>
      </w:r>
      <w:r>
        <w:rPr>
          <w:rFonts w:ascii="Open Sans" w:hAnsi="Open Sans" w:cs="Open Sans"/>
          <w:b/>
          <w:bCs/>
          <w:lang w:val="en-US"/>
        </w:rPr>
        <w:t xml:space="preserve">iDent</w:t>
      </w:r>
      <w:r>
        <w:rPr>
          <w:rFonts w:ascii="Open Sans" w:hAnsi="Open Sans" w:cs="Open Sans"/>
          <w:b/>
          <w:bCs/>
        </w:rPr>
        <w:t xml:space="preserve">.</w:t>
      </w:r>
      <w:r>
        <w:rPr>
          <w:rFonts w:ascii="Open Sans" w:hAnsi="Open Sans" w:cs="Open Sans"/>
          <w:b/>
          <w:bCs/>
        </w:rPr>
      </w:r>
    </w:p>
    <w:p>
      <w:pPr>
        <w:ind w:firstLine="851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firstLine="851"/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Прошу предоставить доступ к базе данных программы </w:t>
      </w:r>
      <w:r>
        <w:rPr>
          <w:rFonts w:ascii="Open Sans" w:hAnsi="Open Sans" w:cs="Open Sans"/>
          <w:sz w:val="20"/>
          <w:lang w:val="en-US"/>
        </w:rPr>
        <w:t xml:space="preserve">iDent</w:t>
      </w:r>
      <w:r>
        <w:rPr>
          <w:rFonts w:ascii="Open Sans" w:hAnsi="Open Sans" w:cs="Open Sans"/>
          <w:sz w:val="20"/>
        </w:rPr>
        <w:t xml:space="preserve"> для проведения интеграции с </w:t>
      </w:r>
      <w:r>
        <w:rPr>
          <w:rFonts w:ascii="Open Sans" w:hAnsi="Open Sans" w:cs="Open Sans"/>
          <w:sz w:val="20"/>
          <w:lang w:val="en-US"/>
        </w:rPr>
        <w:t xml:space="preserve">CRM</w:t>
      </w:r>
      <w:r>
        <w:rPr>
          <w:rFonts w:ascii="Open Sans" w:hAnsi="Open Sans" w:cs="Open Sans"/>
          <w:sz w:val="20"/>
        </w:rPr>
        <w:t xml:space="preserve"> Битрикс24 с целью односторонней </w:t>
      </w:r>
      <w:r>
        <w:rPr>
          <w:rFonts w:ascii="Open Sans" w:hAnsi="Open Sans" w:cs="Open Sans"/>
          <w:sz w:val="20"/>
        </w:rPr>
        <w:t xml:space="preserve">синхронизации..</w:t>
      </w:r>
      <w:r>
        <w:rPr>
          <w:rFonts w:ascii="Open Sans" w:hAnsi="Open Sans" w:cs="Open Sans"/>
          <w:sz w:val="20"/>
        </w:rPr>
      </w:r>
    </w:p>
    <w:p>
      <w:pPr>
        <w:ind w:firstLine="851"/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Интеграцию будет выполнять компания </w:t>
      </w:r>
      <w:r>
        <w:rPr>
          <w:rFonts w:ascii="Open Sans" w:hAnsi="Open Sans" w:cs="Open Sans"/>
          <w:sz w:val="20"/>
          <w:lang w:val="en-US"/>
        </w:rPr>
        <w:t xml:space="preserve">SimpleDigital</w:t>
      </w:r>
      <w:r>
        <w:rPr>
          <w:rFonts w:ascii="Open Sans" w:hAnsi="Open Sans" w:cs="Open Sans"/>
          <w:sz w:val="20"/>
        </w:rPr>
        <w:t xml:space="preserve"> (ИП </w:t>
      </w:r>
      <w:r>
        <w:rPr>
          <w:rFonts w:ascii="Open Sans" w:hAnsi="Open Sans" w:cs="Open Sans"/>
          <w:sz w:val="20"/>
        </w:rPr>
        <w:t xml:space="preserve">Сенникова Евгения Олеговна</w:t>
      </w:r>
      <w:r>
        <w:rPr>
          <w:rFonts w:ascii="Open Sans" w:hAnsi="Open Sans" w:cs="Open Sans"/>
          <w:sz w:val="20"/>
        </w:rPr>
        <w:t xml:space="preserve">), сайт </w:t>
      </w:r>
      <w:r>
        <w:rPr>
          <w:rFonts w:ascii="Open Sans" w:hAnsi="Open Sans" w:cs="Open Sans"/>
          <w:sz w:val="20"/>
          <w:lang w:val="en-US"/>
        </w:rPr>
        <w:t xml:space="preserve">avecme</w:t>
      </w:r>
      <w:r>
        <w:rPr>
          <w:rFonts w:ascii="Open Sans" w:hAnsi="Open Sans" w:cs="Open Sans"/>
          <w:sz w:val="20"/>
        </w:rPr>
        <w:t xml:space="preserve">.</w:t>
      </w:r>
      <w:r>
        <w:rPr>
          <w:rFonts w:ascii="Open Sans" w:hAnsi="Open Sans" w:cs="Open Sans"/>
          <w:sz w:val="20"/>
        </w:rPr>
        <w:t xml:space="preserve">ru</w:t>
      </w:r>
      <w:r>
        <w:rPr>
          <w:rFonts w:ascii="Open Sans" w:hAnsi="Open Sans" w:cs="Open Sans"/>
          <w:sz w:val="20"/>
        </w:rPr>
        <w:t xml:space="preserve">, телефон </w:t>
      </w:r>
      <w:r>
        <w:rPr>
          <w:rFonts w:ascii="Open Sans" w:hAnsi="Open Sans" w:cs="Open Sans"/>
          <w:sz w:val="20"/>
        </w:rPr>
        <w:t xml:space="preserve">8-800-350-04-48</w:t>
      </w:r>
      <w:r>
        <w:rPr>
          <w:rFonts w:ascii="Open Sans" w:hAnsi="Open Sans" w:cs="Open Sans"/>
          <w:sz w:val="20"/>
        </w:rPr>
        <w:t xml:space="preserve">, </w:t>
      </w:r>
      <w:r>
        <w:rPr>
          <w:rFonts w:ascii="Open Sans" w:hAnsi="Open Sans" w:cs="Open Sans"/>
          <w:sz w:val="20"/>
        </w:rPr>
        <w:t xml:space="preserve">info@simpledigital.pro</w:t>
      </w:r>
      <w:r>
        <w:rPr>
          <w:rFonts w:ascii="Open Sans" w:hAnsi="Open Sans" w:cs="Open Sans"/>
          <w:sz w:val="20"/>
        </w:rPr>
        <w:t xml:space="preserve">.</w:t>
      </w:r>
      <w:r>
        <w:rPr>
          <w:rFonts w:ascii="Open Sans" w:hAnsi="Open Sans" w:cs="Open Sans"/>
          <w:sz w:val="20"/>
        </w:rPr>
      </w:r>
    </w:p>
    <w:p>
      <w:pPr>
        <w:ind w:firstLine="851"/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Будет выполняться обработка следующих данных: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3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Контакты и контактные данные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3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Записи на прием, счета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3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Номенклатура услуг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3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Сотрудники.</w:t>
      </w:r>
      <w:r>
        <w:rPr>
          <w:rFonts w:ascii="Open Sans" w:hAnsi="Open Sans" w:cs="Open Sans"/>
          <w:sz w:val="20"/>
        </w:rPr>
      </w:r>
    </w:p>
    <w:p>
      <w:pPr>
        <w:ind w:firstLine="850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Данные берутся для целей дальнейшей обработки информации в Битрикс24. Подробно интеграция описана по ссылке: </w:t>
      </w:r>
      <w:r>
        <w:rPr>
          <w:rFonts w:ascii="Open Sans" w:hAnsi="Open Sans" w:cs="Open Sans"/>
          <w:sz w:val="20"/>
        </w:rPr>
        <w:t xml:space="preserve">https://avecme.ru/#</w:t>
      </w:r>
      <w:r>
        <w:rPr>
          <w:rFonts w:ascii="Open Sans" w:hAnsi="Open Sans" w:cs="Open Sans"/>
          <w:sz w:val="20"/>
        </w:rPr>
      </w:r>
    </w:p>
    <w:p>
      <w:pPr>
        <w:ind w:firstLine="851"/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Получая учетные данные для доступа, я соглашаюсь с тем, что: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1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Доступ к базе данных предоставляется только в режиме чтения.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0"/>
          <w:numId w:val="11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ООО «АЙДЕНТ» не несет ответственности за: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1"/>
          <w:numId w:val="11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работоспособность решений, в которых будет использован этот доступ, а также необходимость их доработки, которая может возникнуть в случае обновления программы </w:t>
      </w:r>
      <w:r>
        <w:rPr>
          <w:rFonts w:ascii="Open Sans" w:hAnsi="Open Sans" w:cs="Open Sans"/>
          <w:sz w:val="20"/>
          <w:lang w:val="en-US"/>
        </w:rPr>
        <w:t xml:space="preserve">iDent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1"/>
          <w:numId w:val="11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возможное снижение производительности программы </w:t>
      </w:r>
      <w:r>
        <w:rPr>
          <w:rFonts w:ascii="Open Sans" w:hAnsi="Open Sans" w:cs="Open Sans"/>
          <w:sz w:val="20"/>
          <w:lang w:val="en-US"/>
        </w:rPr>
        <w:t xml:space="preserve">iDent</w:t>
      </w:r>
      <w:r>
        <w:rPr>
          <w:rFonts w:ascii="Open Sans" w:hAnsi="Open Sans" w:cs="Open Sans"/>
          <w:sz w:val="20"/>
        </w:rPr>
        <w:t xml:space="preserve">, вызванное повышенной нагрузкой на СУБД при эксплуатации сторонних решений;</w:t>
      </w:r>
      <w:r>
        <w:rPr>
          <w:rFonts w:ascii="Open Sans" w:hAnsi="Open Sans" w:cs="Open Sans"/>
          <w:sz w:val="20"/>
        </w:rPr>
      </w:r>
    </w:p>
    <w:p>
      <w:pPr>
        <w:pStyle w:val="861"/>
        <w:numPr>
          <w:ilvl w:val="1"/>
          <w:numId w:val="11"/>
        </w:numPr>
        <w:jc w:val="both"/>
        <w:spacing w:after="0" w:line="240" w:lineRule="auto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неправомерное использование ваших данных разработчиком стороннего решения.</w:t>
      </w:r>
      <w:r>
        <w:rPr>
          <w:rFonts w:ascii="Open Sans" w:hAnsi="Open Sans" w:cs="Open Sans"/>
          <w:sz w:val="20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____________________________</w:t>
      </w:r>
      <w:r>
        <w:rPr>
          <w:rFonts w:ascii="Open Sans" w:hAnsi="Open Sans" w:cs="Open Sans"/>
        </w:rPr>
      </w:r>
    </w:p>
    <w:p>
      <w:pPr>
        <w:ind w:left="1416" w:firstLine="708"/>
        <w:jc w:val="both"/>
        <w:spacing w:after="0" w:line="240" w:lineRule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Должность</w:t>
      </w:r>
      <w:r>
        <w:rPr>
          <w:rFonts w:ascii="Open Sans" w:hAnsi="Open Sans" w:cs="Open Sans"/>
          <w:sz w:val="16"/>
          <w:szCs w:val="16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____________________________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  <w:t xml:space="preserve">____________________</w:t>
      </w:r>
      <w:r>
        <w:rPr>
          <w:rFonts w:ascii="Open Sans" w:hAnsi="Open Sans" w:cs="Open Sans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ab/>
        <w:t xml:space="preserve">Организация</w:t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</w:r>
      <w:r>
        <w:rPr>
          <w:rFonts w:ascii="Open Sans" w:hAnsi="Open Sans" w:cs="Open Sans"/>
          <w:sz w:val="16"/>
          <w:szCs w:val="16"/>
        </w:rPr>
        <w:tab/>
        <w:t xml:space="preserve">Расшифровка</w:t>
      </w:r>
      <w:r>
        <w:rPr>
          <w:rFonts w:ascii="Open Sans" w:hAnsi="Open Sans" w:cs="Open Sans"/>
          <w:sz w:val="16"/>
          <w:szCs w:val="16"/>
        </w:rPr>
      </w:r>
    </w:p>
    <w:p>
      <w:pPr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</w:r>
      <w:r>
        <w:rPr>
          <w:rFonts w:ascii="Open Sans" w:hAnsi="Open Sans" w:cs="Open Sans"/>
        </w:rPr>
      </w:r>
    </w:p>
    <w:p>
      <w:pPr>
        <w:ind w:left="708" w:firstLine="708"/>
        <w:jc w:val="both"/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МП</w:t>
      </w:r>
      <w:r>
        <w:rPr>
          <w:rFonts w:ascii="Open Sans" w:hAnsi="Open Sans" w:cs="Open Sans"/>
        </w:rPr>
      </w:r>
    </w:p>
    <w:sectPr>
      <w:footnotePr/>
      <w:endnotePr/>
      <w:type w:val="nextPage"/>
      <w:pgSz w:w="11906" w:h="16838" w:orient="portrait"/>
      <w:pgMar w:top="1134" w:right="567" w:bottom="39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Courier New">
    <w:panose1 w:val="02070309020205020404"/>
  </w:font>
  <w:font w:name="Symbol">
    <w:panose1 w:val="05010000000000000000"/>
  </w:font>
  <w:font w:name="Segoe UI">
    <w:panose1 w:val="020B050302020402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56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8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00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2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4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6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8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0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2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numStyleLink w:val="865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styleLink w:val="865"/>
    <w:lvl w:ilvl="0">
      <w:start w:val="1"/>
      <w:numFmt w:val="decimal"/>
      <w:pStyle w:val="865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2291" w:hanging="360"/>
      </w:pPr>
      <w:rPr>
        <w:rFonts w:hint="default" w:ascii="Symbol" w:hAnsi="Symbol"/>
        <w:color w:val="auto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1"/>
  </w:num>
  <w:num w:numId="5">
    <w:abstractNumId w:val="8"/>
  </w:num>
  <w:num w:numId="6">
    <w:abstractNumId w:val="12"/>
  </w:num>
  <w:num w:numId="7">
    <w:abstractNumId w:val="6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90"/>
    <w:link w:val="68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90"/>
    <w:link w:val="68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90"/>
    <w:link w:val="68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90"/>
    <w:link w:val="68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0"/>
    <w:link w:val="68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90"/>
    <w:link w:val="68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90"/>
    <w:link w:val="703"/>
    <w:uiPriority w:val="10"/>
    <w:rPr>
      <w:sz w:val="48"/>
      <w:szCs w:val="48"/>
    </w:rPr>
  </w:style>
  <w:style w:type="character" w:styleId="38">
    <w:name w:val="Subtitle Char"/>
    <w:basedOn w:val="690"/>
    <w:link w:val="705"/>
    <w:uiPriority w:val="11"/>
    <w:rPr>
      <w:sz w:val="24"/>
      <w:szCs w:val="24"/>
    </w:rPr>
  </w:style>
  <w:style w:type="character" w:styleId="40">
    <w:name w:val="Quote Char"/>
    <w:link w:val="707"/>
    <w:uiPriority w:val="29"/>
    <w:rPr>
      <w:i/>
    </w:rPr>
  </w:style>
  <w:style w:type="character" w:styleId="42">
    <w:name w:val="Intense Quote Char"/>
    <w:link w:val="709"/>
    <w:uiPriority w:val="30"/>
    <w:rPr>
      <w:i/>
    </w:rPr>
  </w:style>
  <w:style w:type="character" w:styleId="44">
    <w:name w:val="Header Char"/>
    <w:basedOn w:val="690"/>
    <w:link w:val="711"/>
    <w:uiPriority w:val="99"/>
  </w:style>
  <w:style w:type="character" w:styleId="48">
    <w:name w:val="Caption Char"/>
    <w:basedOn w:val="690"/>
    <w:link w:val="715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43"/>
    <w:uiPriority w:val="99"/>
    <w:rPr>
      <w:sz w:val="18"/>
    </w:rPr>
  </w:style>
  <w:style w:type="character" w:styleId="180">
    <w:name w:val="Endnote Text Char"/>
    <w:link w:val="846"/>
    <w:uiPriority w:val="99"/>
    <w:rPr>
      <w:sz w:val="20"/>
    </w:rPr>
  </w:style>
  <w:style w:type="paragraph" w:styleId="680" w:default="1">
    <w:name w:val="Normal"/>
    <w:qFormat/>
  </w:style>
  <w:style w:type="paragraph" w:styleId="681">
    <w:name w:val="Heading 1"/>
    <w:basedOn w:val="680"/>
    <w:next w:val="68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2">
    <w:name w:val="Heading 2"/>
    <w:basedOn w:val="680"/>
    <w:next w:val="680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3">
    <w:name w:val="Heading 3"/>
    <w:basedOn w:val="680"/>
    <w:next w:val="680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4">
    <w:name w:val="Heading 4"/>
    <w:basedOn w:val="680"/>
    <w:next w:val="68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680"/>
    <w:next w:val="68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7">
    <w:name w:val="Heading 7"/>
    <w:basedOn w:val="680"/>
    <w:next w:val="680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8">
    <w:name w:val="Heading 8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9">
    <w:name w:val="Heading 9"/>
    <w:basedOn w:val="680"/>
    <w:next w:val="680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Заголовок 1 Знак"/>
    <w:basedOn w:val="690"/>
    <w:link w:val="681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Заголовок 2 Знак"/>
    <w:basedOn w:val="690"/>
    <w:link w:val="682"/>
    <w:uiPriority w:val="9"/>
    <w:rPr>
      <w:rFonts w:ascii="Arial" w:hAnsi="Arial" w:eastAsia="Arial" w:cs="Arial"/>
      <w:sz w:val="34"/>
    </w:rPr>
  </w:style>
  <w:style w:type="character" w:styleId="695" w:customStyle="1">
    <w:name w:val="Заголовок 3 Знак"/>
    <w:basedOn w:val="690"/>
    <w:link w:val="683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Заголовок 4 Знак"/>
    <w:basedOn w:val="690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Заголовок 5 Знак"/>
    <w:basedOn w:val="690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Заголовок 6 Знак"/>
    <w:basedOn w:val="690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Заголовок 7 Знак"/>
    <w:basedOn w:val="690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Заголовок 8 Знак"/>
    <w:basedOn w:val="690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Заголовок 9 Знак"/>
    <w:basedOn w:val="690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No Spacing"/>
    <w:uiPriority w:val="1"/>
    <w:qFormat/>
    <w:pPr>
      <w:spacing w:after="0" w:line="240" w:lineRule="auto"/>
    </w:pPr>
  </w:style>
  <w:style w:type="paragraph" w:styleId="703">
    <w:name w:val="Title"/>
    <w:basedOn w:val="680"/>
    <w:next w:val="680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Заголовок Знак"/>
    <w:basedOn w:val="690"/>
    <w:link w:val="703"/>
    <w:uiPriority w:val="10"/>
    <w:rPr>
      <w:sz w:val="48"/>
      <w:szCs w:val="48"/>
    </w:rPr>
  </w:style>
  <w:style w:type="paragraph" w:styleId="705">
    <w:name w:val="Subtitle"/>
    <w:basedOn w:val="680"/>
    <w:next w:val="680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 w:customStyle="1">
    <w:name w:val="Подзаголовок Знак"/>
    <w:basedOn w:val="690"/>
    <w:link w:val="705"/>
    <w:uiPriority w:val="11"/>
    <w:rPr>
      <w:sz w:val="24"/>
      <w:szCs w:val="24"/>
    </w:rPr>
  </w:style>
  <w:style w:type="paragraph" w:styleId="707">
    <w:name w:val="Quote"/>
    <w:basedOn w:val="680"/>
    <w:next w:val="680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0"/>
    <w:next w:val="680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>
    <w:name w:val="Header"/>
    <w:basedOn w:val="680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Верхний колонтитул Знак"/>
    <w:basedOn w:val="690"/>
    <w:link w:val="711"/>
    <w:uiPriority w:val="99"/>
  </w:style>
  <w:style w:type="paragraph" w:styleId="713">
    <w:name w:val="Footer"/>
    <w:basedOn w:val="680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basedOn w:val="690"/>
    <w:uiPriority w:val="99"/>
  </w:style>
  <w:style w:type="paragraph" w:styleId="715">
    <w:name w:val="Caption"/>
    <w:basedOn w:val="680"/>
    <w:next w:val="68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16" w:customStyle="1">
    <w:name w:val="Нижний колонтитул Знак"/>
    <w:link w:val="713"/>
    <w:uiPriority w:val="99"/>
  </w:style>
  <w:style w:type="table" w:styleId="717" w:customStyle="1">
    <w:name w:val="Table Grid Light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8">
    <w:name w:val="Plain Table 1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69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auto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6" w:customStyle="1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auto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uto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auto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auto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50" w:customStyle="1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auto"/>
    </w:tblPr>
    <w:tblStylePr w:type="band1Horz">
      <w:tcPr>
        <w:shd w:val="clear" w:color="a9bee4" w:themeColor="accent1" w:themeTint="75" w:fill="auto"/>
      </w:tcPr>
    </w:tblStylePr>
    <w:tblStylePr w:type="band1Vert">
      <w:tcPr>
        <w:shd w:val="clear" w:color="a9bee4" w:themeColor="accen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auto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auto"/>
    </w:tblPr>
    <w:tblStylePr w:type="band1Horz">
      <w:tcPr>
        <w:shd w:val="clear" w:color="f6c3a0" w:themeColor="accent2" w:themeTint="75" w:fill="auto"/>
      </w:tcPr>
    </w:tblStylePr>
    <w:tblStylePr w:type="band1Vert">
      <w:tcPr>
        <w:shd w:val="clear" w:color="f6c3a0" w:themeColor="accent2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auto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auto"/>
    </w:tblPr>
    <w:tblStylePr w:type="band1Horz">
      <w:tcPr>
        <w:shd w:val="clear" w:color="d5d5d5" w:themeColor="accent3" w:themeTint="75" w:fill="auto"/>
      </w:tcPr>
    </w:tblStylePr>
    <w:tblStylePr w:type="band1Vert">
      <w:tcPr>
        <w:shd w:val="clear" w:color="d5d5d5" w:themeColor="accent3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uto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auto"/>
    </w:tblPr>
    <w:tblStylePr w:type="band1Horz">
      <w:tcPr>
        <w:shd w:val="clear" w:color="ffe28a" w:themeColor="accent4" w:themeTint="75" w:fill="auto"/>
      </w:tcPr>
    </w:tblStylePr>
    <w:tblStylePr w:type="band1Vert">
      <w:tcPr>
        <w:shd w:val="clear" w:color="ffe28a" w:themeColor="accent4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auto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auto"/>
    </w:tblPr>
    <w:tblStylePr w:type="band1Horz">
      <w:tcPr>
        <w:shd w:val="clear" w:color="b3d0eb" w:themeColor="accent5" w:themeTint="75" w:fill="auto"/>
      </w:tcPr>
    </w:tblStylePr>
    <w:tblStylePr w:type="band1Vert">
      <w:tcPr>
        <w:shd w:val="clear" w:color="b3d0eb" w:themeColor="accent5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auto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auto"/>
    </w:tblPr>
    <w:tblStylePr w:type="band1Horz">
      <w:tcPr>
        <w:shd w:val="clear" w:color="bcdba8" w:themeColor="accent6" w:themeTint="75" w:fill="auto"/>
      </w:tcPr>
    </w:tblStylePr>
    <w:tblStylePr w:type="band1Vert">
      <w:tcPr>
        <w:shd w:val="clear" w:color="bcdba8" w:themeColor="accent6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auto"/>
        <w:tcBorders>
          <w:top w:val="single" w:color="FFFFFF" w:themeColor="light1" w:sz="4" w:space="0"/>
        </w:tcBorders>
      </w:tcPr>
    </w:tblStylePr>
  </w:style>
  <w:style w:type="table" w:styleId="758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auto"/>
      </w:tcPr>
    </w:tblStylePr>
    <w:tblStylePr w:type="band1Vert"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60" w:customStyle="1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auto"/>
      </w:tcPr>
    </w:tblStylePr>
    <w:tblStylePr w:type="band1Vert"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auto"/>
      </w:tcPr>
    </w:tblStylePr>
    <w:tblStylePr w:type="band1Vert"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auto"/>
      </w:tcPr>
    </w:tblStylePr>
    <w:tblStylePr w:type="band1Vert"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auto"/>
      </w:tcPr>
    </w:tblStylePr>
    <w:tblStylePr w:type="band1Vert"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4" w:customStyle="1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auto"/>
      </w:tcPr>
    </w:tblStylePr>
    <w:tblStylePr w:type="band1Vert"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5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auto"/>
      </w:tcPr>
    </w:tblStylePr>
    <w:tblStylePr w:type="band1Vert"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auto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auto"/>
      </w:tcPr>
    </w:tblStylePr>
    <w:tblStylePr w:type="band1Vert"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auto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auto"/>
      </w:tcPr>
    </w:tblStylePr>
    <w:tblStylePr w:type="band1Vert"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auto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auto"/>
      </w:tcPr>
    </w:tblStylePr>
    <w:tblStylePr w:type="band1Vert"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auto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auto"/>
      </w:tcPr>
    </w:tblStylePr>
    <w:tblStylePr w:type="band1Vert"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auto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auto"/>
      </w:tcPr>
    </w:tblStylePr>
    <w:tblStylePr w:type="band1Vert"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auto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auto"/>
      </w:tcPr>
    </w:tblStylePr>
    <w:tblStylePr w:type="band1Vert">
      <w:tcPr>
        <w:shd w:val="clear" w:color="cfdbf0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auto"/>
      </w:tcPr>
    </w:tblStylePr>
    <w:tblStylePr w:type="band1Vert">
      <w:tcPr>
        <w:shd w:val="clear" w:color="fadecb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auto"/>
      </w:tcPr>
    </w:tblStylePr>
    <w:tblStylePr w:type="band1Vert">
      <w:tcPr>
        <w:shd w:val="clear" w:color="e8e8e8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auto"/>
      </w:tcPr>
    </w:tblStylePr>
    <w:tblStylePr w:type="band1Vert">
      <w:tcPr>
        <w:shd w:val="clear" w:color="ffefbf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auto"/>
      </w:tcPr>
    </w:tblStylePr>
    <w:tblStylePr w:type="band1Vert">
      <w:tcPr>
        <w:shd w:val="clear" w:color="d5e5f4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auto"/>
      </w:tcPr>
    </w:tblStylePr>
    <w:tblStylePr w:type="band1Vert">
      <w:tcPr>
        <w:shd w:val="clear" w:color="daebcf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auto"/>
    </w:tblPr>
    <w:tblStylePr w:type="band1Horz">
      <w:tcPr>
        <w:shd w:val="clear" w:color="4472c4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auto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auto"/>
    </w:tblPr>
    <w:tblStylePr w:type="band1Horz">
      <w:tcPr>
        <w:shd w:val="clear" w:color="f4b184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auto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auto"/>
    </w:tblPr>
    <w:tblStylePr w:type="band1Horz">
      <w:tcPr>
        <w:shd w:val="clear" w:color="c9c9c9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auto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auto"/>
    </w:tblPr>
    <w:tblStylePr w:type="band1Horz">
      <w:tcPr>
        <w:shd w:val="clear" w:color="ffd865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auto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auto"/>
    </w:tblPr>
    <w:tblStylePr w:type="band1Horz">
      <w:tcPr>
        <w:shd w:val="clear" w:color="9bc2e5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auto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uto"/>
    </w:tblPr>
    <w:tblStylePr w:type="band1Horz">
      <w:tcPr>
        <w:shd w:val="clear" w:color="a9d08e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uto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auto"/>
      </w:tcPr>
    </w:tblStylePr>
    <w:tblStylePr w:type="band1Vert"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9" w:customStyle="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auto"/>
      </w:tcPr>
    </w:tblStylePr>
    <w:tblStylePr w:type="band1Vert"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auto"/>
      </w:tcPr>
    </w:tblStylePr>
    <w:tblStylePr w:type="band1Vert"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auto"/>
      </w:tcPr>
    </w:tblStylePr>
    <w:tblStylePr w:type="band1Vert"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auto"/>
      </w:tcPr>
    </w:tblStylePr>
    <w:tblStylePr w:type="band1Vert"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13" w:customStyle="1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auto"/>
      </w:tcPr>
    </w:tblStylePr>
    <w:tblStylePr w:type="band1Vert"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auto"/>
      </w:tcPr>
    </w:tblStylePr>
    <w:tblStylePr w:type="band1Vert"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auto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auto"/>
      </w:tcPr>
    </w:tblStylePr>
    <w:tblStylePr w:type="band1Vert"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auto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auto"/>
      </w:tcPr>
    </w:tblStylePr>
    <w:tblStylePr w:type="band1Vert"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auto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auto"/>
      </w:tcPr>
    </w:tblStylePr>
    <w:tblStylePr w:type="band1Vert"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auto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auto"/>
      </w:tcPr>
    </w:tblStylePr>
    <w:tblStylePr w:type="band1Vert"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auto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auto"/>
      </w:tcPr>
    </w:tblStylePr>
    <w:tblStylePr w:type="band1Vert"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auto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auto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822" w:customStyle="1">
    <w:name w:val="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</w:style>
  <w:style w:type="table" w:styleId="823" w:customStyle="1">
    <w:name w:val="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</w:style>
  <w:style w:type="table" w:styleId="824" w:customStyle="1">
    <w:name w:val="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</w:style>
  <w:style w:type="table" w:styleId="825" w:customStyle="1">
    <w:name w:val="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</w:style>
  <w:style w:type="table" w:styleId="826" w:customStyle="1">
    <w:name w:val="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</w:style>
  <w:style w:type="table" w:styleId="827" w:customStyle="1">
    <w:name w:val="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</w:style>
  <w:style w:type="table" w:styleId="828" w:customStyle="1">
    <w:name w:val="Bordered &amp; 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829" w:customStyle="1">
    <w:name w:val="Bordered &amp; 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auto"/>
      </w:tcPr>
    </w:tblStylePr>
  </w:style>
  <w:style w:type="table" w:styleId="830" w:customStyle="1">
    <w:name w:val="Bordered &amp; 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auto"/>
      </w:tcPr>
    </w:tblStylePr>
  </w:style>
  <w:style w:type="table" w:styleId="831" w:customStyle="1">
    <w:name w:val="Bordered &amp; 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</w:style>
  <w:style w:type="table" w:styleId="832" w:customStyle="1">
    <w:name w:val="Bordered &amp; 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auto"/>
      </w:tcPr>
    </w:tblStylePr>
  </w:style>
  <w:style w:type="table" w:styleId="833" w:customStyle="1">
    <w:name w:val="Bordered &amp; 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auto"/>
      </w:tcPr>
    </w:tblStylePr>
  </w:style>
  <w:style w:type="table" w:styleId="834" w:customStyle="1">
    <w:name w:val="Bordered &amp; 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</w:style>
  <w:style w:type="table" w:styleId="835" w:customStyle="1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7" w:customStyle="1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41" w:customStyle="1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563c1" w:themeColor="hyperlink"/>
      <w:u w:val="single"/>
    </w:rPr>
  </w:style>
  <w:style w:type="paragraph" w:styleId="843">
    <w:name w:val="footnote text"/>
    <w:basedOn w:val="68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 w:customStyle="1">
    <w:name w:val="Текст сноски Знак"/>
    <w:link w:val="843"/>
    <w:uiPriority w:val="99"/>
    <w:rPr>
      <w:sz w:val="18"/>
    </w:rPr>
  </w:style>
  <w:style w:type="character" w:styleId="845">
    <w:name w:val="footnote reference"/>
    <w:basedOn w:val="690"/>
    <w:uiPriority w:val="99"/>
    <w:unhideWhenUsed/>
    <w:rPr>
      <w:vertAlign w:val="superscript"/>
    </w:rPr>
  </w:style>
  <w:style w:type="paragraph" w:styleId="846">
    <w:name w:val="endnote text"/>
    <w:basedOn w:val="68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 w:customStyle="1">
    <w:name w:val="Текст концевой сноски Знак"/>
    <w:link w:val="846"/>
    <w:uiPriority w:val="99"/>
    <w:rPr>
      <w:sz w:val="20"/>
    </w:rPr>
  </w:style>
  <w:style w:type="character" w:styleId="848">
    <w:name w:val="endnote reference"/>
    <w:basedOn w:val="690"/>
    <w:uiPriority w:val="99"/>
    <w:semiHidden/>
    <w:unhideWhenUsed/>
    <w:rPr>
      <w:vertAlign w:val="superscript"/>
    </w:rPr>
  </w:style>
  <w:style w:type="paragraph" w:styleId="849">
    <w:name w:val="toc 1"/>
    <w:basedOn w:val="680"/>
    <w:next w:val="680"/>
    <w:uiPriority w:val="39"/>
    <w:unhideWhenUsed/>
    <w:pPr>
      <w:spacing w:after="57"/>
    </w:pPr>
  </w:style>
  <w:style w:type="paragraph" w:styleId="850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1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2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3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4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5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6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57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680"/>
    <w:next w:val="680"/>
    <w:uiPriority w:val="99"/>
    <w:unhideWhenUsed/>
    <w:pPr>
      <w:spacing w:after="0"/>
    </w:pPr>
  </w:style>
  <w:style w:type="table" w:styleId="860">
    <w:name w:val="Table Grid"/>
    <w:basedOn w:val="69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1">
    <w:name w:val="List Paragraph"/>
    <w:basedOn w:val="680"/>
    <w:uiPriority w:val="34"/>
    <w:qFormat/>
    <w:pPr>
      <w:contextualSpacing/>
      <w:ind w:left="720"/>
    </w:pPr>
  </w:style>
  <w:style w:type="table" w:styleId="862">
    <w:name w:val="Grid Table Light"/>
    <w:basedOn w:val="691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863">
    <w:name w:val="Balloon Text"/>
    <w:basedOn w:val="680"/>
    <w:link w:val="86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4" w:customStyle="1">
    <w:name w:val="Текст выноски Знак"/>
    <w:basedOn w:val="690"/>
    <w:link w:val="863"/>
    <w:uiPriority w:val="99"/>
    <w:semiHidden/>
    <w:rPr>
      <w:rFonts w:ascii="Segoe UI" w:hAnsi="Segoe UI" w:cs="Segoe UI"/>
      <w:sz w:val="18"/>
      <w:szCs w:val="18"/>
    </w:rPr>
  </w:style>
  <w:style w:type="numbering" w:styleId="865" w:customStyle="1">
    <w:name w:val="Стиль1"/>
    <w:uiPriority w:val="99"/>
    <w:pPr>
      <w:numPr>
        <w:ilvl w:val="0"/>
        <w:numId w:val="12"/>
      </w:numP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Столбов</dc:creator>
  <cp:keywords/>
  <dc:description/>
  <cp:lastModifiedBy>Жукова Анна</cp:lastModifiedBy>
  <cp:revision>3</cp:revision>
  <dcterms:created xsi:type="dcterms:W3CDTF">2024-03-12T06:44:00Z</dcterms:created>
  <dcterms:modified xsi:type="dcterms:W3CDTF">2026-09-17T06:46:44Z</dcterms:modified>
</cp:coreProperties>
</file>